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14520d1_8k.htm"/>
      <w:bookmarkStart w:id="1" w:name="kstm2614520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5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C_edei--EntityRegistrantName_c2026"/>
      <w:bookmarkEnd w:id="4"/>
      <w:r>
        <w:rPr>
          <w:rFonts w:ascii="Times New Roman;Times;Serif" w:hAnsi="Times New Roman;Times;Serif"/>
          <w:b/>
          <w:i w:val="false"/>
          <w:caps w:val="false"/>
          <w:smallCaps w:val="false"/>
          <w:sz w:val="28"/>
          <w:u w:val="single"/>
        </w:rPr>
        <w:t>Cheetah Net Supply Chain Service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5_edei--EntityFileNumber_c20260514"/>
            <w:bookmarkEnd w:id="6"/>
            <w:r>
              <w:rPr>
                <w:b/>
                <w:sz w:val="20"/>
              </w:rPr>
              <w:t>001-41761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81-3509120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8707 Research Drive,</w:t>
              <w:br/>
            </w:r>
            <w:bookmarkStart w:id="9" w:name="xdx_907_edei--EntityAddressCityOrTown_c2"/>
            <w:bookmarkEnd w:id="9"/>
            <w:r>
              <w:rPr>
                <w:rFonts w:ascii="Times New Roman;Times;Serif" w:hAnsi="Times New Roman;Times;Serif"/>
                <w:b/>
                <w:i w:val="false"/>
                <w:caps w:val="false"/>
                <w:smallCaps w:val="false"/>
                <w:sz w:val="20"/>
              </w:rPr>
              <w:t xml:space="preserve">Irvine, </w:t>
            </w:r>
            <w:bookmarkStart w:id="10" w:name="xdx_90E_edei--EntityAddressStateOrProvin"/>
            <w:bookmarkEnd w:id="10"/>
            <w:r>
              <w:rPr>
                <w:rFonts w:ascii="Times New Roman;Times;Serif" w:hAnsi="Times New Roman;Times;Serif"/>
                <w:b/>
                <w:i w:val="false"/>
                <w:caps w:val="false"/>
                <w:smallCaps w:val="false"/>
                <w:sz w:val="20"/>
              </w:rPr>
              <w:t xml:space="preserve">California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1" w:name="xdx_90E_edei--EntityAddressPostalZipCode"/>
            <w:bookmarkEnd w:id="11"/>
            <w:r>
              <w:rPr>
                <w:b/>
                <w:sz w:val="20"/>
              </w:rPr>
              <w:t>92618</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A_edei--CityAreaCode_c20260514__20"/>
      <w:bookmarkEnd w:id="12"/>
      <w:r>
        <w:rPr>
          <w:rFonts w:ascii="Times New Roman;Times;Serif" w:hAnsi="Times New Roman;Times;Serif"/>
          <w:b w:val="false"/>
          <w:i w:val="false"/>
          <w:caps w:val="false"/>
          <w:smallCaps w:val="false"/>
          <w:sz w:val="20"/>
        </w:rPr>
        <w:t xml:space="preserve">949) </w:t>
      </w:r>
      <w:bookmarkStart w:id="13" w:name="xdx_90C_edei--LocalPhoneNumber_c20260514"/>
      <w:bookmarkEnd w:id="13"/>
      <w:r>
        <w:rPr>
          <w:rFonts w:ascii="Times New Roman;Times;Serif" w:hAnsi="Times New Roman;Times;Serif"/>
          <w:b w:val="false"/>
          <w:i w:val="false"/>
          <w:caps w:val="false"/>
          <w:smallCaps w:val="false"/>
          <w:sz w:val="20"/>
        </w:rPr>
        <w:t>740-7799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0_edei--SolicitingMaterial_c202605"/>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5_edei--Security12bTitle_c20260514"/>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C_edei--TradingSymbol_c20260514__2"/>
            <w:bookmarkEnd w:id="19"/>
            <w:r>
              <w:rPr>
                <w:sz w:val="20"/>
              </w:rPr>
              <w:t>CTNT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sz w:val="20"/>
              </w:rPr>
            </w:pPr>
            <w:bookmarkStart w:id="20" w:name="xdx_907_edei--SecurityExchangeName_c2026"/>
            <w:bookmarkEnd w:id="20"/>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Cheetah Net Supply Chain Service Inc. issued a press release (the “Press Release”) announcing its financial results for the three months ended March 31, 2026.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contains certain business updates and forward-looking statements regarding the Company’s expectations, plans and prospects. The information in this Item 2.02 and Exhibit 99.1 hereto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both"/>
              <w:rPr>
                <w:b/>
                <w:sz w:val="20"/>
              </w:rPr>
            </w:pPr>
            <w:r>
              <w:rPr>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6485"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pPr>
            <w:hyperlink w:anchor="tm2614520d1_ex99-1.htm">
              <w:r>
                <w:rPr>
                  <w:rStyle w:val="InternetLink"/>
                  <w:sz w:val="20"/>
                </w:rPr>
                <w:t>99.1</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6485" w:type="dxa"/>
            <w:tcBorders/>
            <w:shd w:fill="CCEEFF" w:val="clear"/>
            <w:tcMar>
              <w:bottom w:w="0" w:type="dxa"/>
            </w:tcMar>
            <w:vAlign w:val="center"/>
          </w:tcPr>
          <w:p>
            <w:pPr>
              <w:pStyle w:val="TableContents"/>
              <w:bidi w:val="0"/>
              <w:spacing w:before="0" w:after="283"/>
              <w:jc w:val="both"/>
              <w:rPr/>
            </w:pPr>
            <w:hyperlink w:anchor="tm2614520d1_ex99-1.htm">
              <w:r>
                <w:rPr>
                  <w:rStyle w:val="InternetLink"/>
                  <w:sz w:val="20"/>
                </w:rPr>
                <w:t>The Press Release</w:t>
              </w:r>
            </w:hyperlink>
          </w:p>
        </w:tc>
      </w:tr>
      <w:tr>
        <w:trPr/>
        <w:tc>
          <w:tcPr>
            <w:tcW w:w="995"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6485"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9"/>
        <w:gridCol w:w="319"/>
        <w:gridCol w:w="8247"/>
      </w:tblGrid>
      <w:tr>
        <w:trPr/>
        <w:tc>
          <w:tcPr>
            <w:tcW w:w="1639" w:type="dxa"/>
            <w:tcBorders/>
            <w:vAlign w:val="center"/>
          </w:tcPr>
          <w:p>
            <w:pPr>
              <w:pStyle w:val="TableContents"/>
              <w:bidi w:val="0"/>
              <w:spacing w:before="0" w:after="283"/>
              <w:jc w:val="left"/>
              <w:rPr/>
            </w:pPr>
            <w:r>
              <w:rPr/>
              <w:t> </w:t>
            </w:r>
          </w:p>
        </w:tc>
        <w:tc>
          <w:tcPr>
            <w:tcW w:w="8566" w:type="dxa"/>
            <w:gridSpan w:val="2"/>
            <w:tcBorders/>
            <w:vAlign w:val="center"/>
          </w:tcPr>
          <w:p>
            <w:pPr>
              <w:pStyle w:val="TableContents"/>
              <w:bidi w:val="0"/>
              <w:spacing w:before="0" w:after="283"/>
              <w:jc w:val="left"/>
              <w:rPr>
                <w:b/>
                <w:sz w:val="20"/>
              </w:rPr>
            </w:pPr>
            <w:r>
              <w:rPr>
                <w:b/>
                <w:sz w:val="20"/>
              </w:rPr>
              <w:t>Cheetah Net Supply Chain Service Inc.</w:t>
            </w:r>
          </w:p>
        </w:tc>
      </w:tr>
      <w:tr>
        <w:trPr/>
        <w:tc>
          <w:tcPr>
            <w:tcW w:w="1639"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8247"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before="0" w:after="283"/>
              <w:jc w:val="left"/>
              <w:rPr>
                <w:sz w:val="20"/>
              </w:rPr>
            </w:pPr>
            <w:r>
              <w:rPr>
                <w:sz w:val="20"/>
              </w:rPr>
              <w:t>Date: May 14, 2026</w:t>
            </w:r>
          </w:p>
        </w:tc>
        <w:tc>
          <w:tcPr>
            <w:tcW w:w="319" w:type="dxa"/>
            <w:tcBorders/>
            <w:vAlign w:val="center"/>
          </w:tcPr>
          <w:p>
            <w:pPr>
              <w:pStyle w:val="TableContents"/>
              <w:bidi w:val="0"/>
              <w:spacing w:before="0" w:after="283"/>
              <w:jc w:val="left"/>
              <w:rPr>
                <w:sz w:val="20"/>
              </w:rPr>
            </w:pPr>
            <w:r>
              <w:rPr>
                <w:sz w:val="20"/>
              </w:rPr>
              <w:t>By:</w:t>
            </w:r>
          </w:p>
        </w:tc>
        <w:tc>
          <w:tcPr>
            <w:tcW w:w="8247"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r>
              <w:rPr>
                <w:i/>
                <w:sz w:val="20"/>
              </w:rPr>
              <w:t>s</w:t>
            </w:r>
            <w:r>
              <w:rPr>
                <w:sz w:val="20"/>
              </w:rPr>
              <w:t xml:space="preserve">/ </w:t>
            </w:r>
            <w:r>
              <w:rPr>
                <w:i/>
                <w:sz w:val="20"/>
              </w:rPr>
              <w:t>Huan Liu</w:t>
            </w:r>
          </w:p>
        </w:tc>
      </w:tr>
      <w:tr>
        <w:trPr/>
        <w:tc>
          <w:tcPr>
            <w:tcW w:w="1639"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8247" w:type="dxa"/>
            <w:tcBorders/>
            <w:vAlign w:val="center"/>
          </w:tcPr>
          <w:p>
            <w:pPr>
              <w:pStyle w:val="TableContents"/>
              <w:bidi w:val="0"/>
              <w:spacing w:before="0" w:after="283"/>
              <w:jc w:val="left"/>
              <w:rPr>
                <w:sz w:val="20"/>
              </w:rPr>
            </w:pPr>
            <w:r>
              <w:rPr>
                <w:sz w:val="20"/>
              </w:rPr>
              <w:t>Huan Liu</w:t>
            </w:r>
          </w:p>
        </w:tc>
      </w:tr>
      <w:tr>
        <w:trPr/>
        <w:tc>
          <w:tcPr>
            <w:tcW w:w="1639"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8247" w:type="dxa"/>
            <w:tcBorders/>
            <w:vAlign w:val="center"/>
          </w:tcPr>
          <w:p>
            <w:pPr>
              <w:pStyle w:val="TableContents"/>
              <w:bidi w:val="0"/>
              <w:spacing w:before="0" w:after="283"/>
              <w:jc w:val="left"/>
              <w:rPr>
                <w:sz w:val="20"/>
              </w:rPr>
            </w:pPr>
            <w:r>
              <w:rPr>
                <w:sz w:val="20"/>
              </w:rPr>
              <w:t>Chief Executive Officer, Director, and Chairman of the Board of Directors (Principal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14520d1_ex99-1.htm"/>
      <w:bookmarkStart w:id="24" w:name="kstm2614520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 Announces First Quarter 2026 Results and Provides Corporate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May 14, 2026 (GLOBE NEWSWIRE) – Cheetah Net Supply Chain Service Inc. (“Cheetah” or the “Company”) (Nasdaq: CTNT), a logistics and warehousing services provider, today reported results for the quarter ended March 31, 2026 and provided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March 31, 2026, the Company reported revenue of $92,700 from its logistics and warehousing business, compared to $479,799 in the same period in 2025, representing a decrease of $387,099, or 80.7%. The Company recorded an operating loss of $764,319 for the quarter ended March 31, 2026, compared to an operating loss of $960,448 in the same period in 2025, representing a decrease of $196,129, or 20.4%. The decrease was primarily due to a decrease of $230,515 in selling, general and administrative expenses compared to the same period in 2025. The Company recognized other income of $152,454 for the quarter ended March 31, 2026, which primarily consisted of interest income of $151,142. After accounting for an income tax provision of $4,400, the Company reported a net loss from continuing operations of $616,265, compared to $753,909 to the same period in 2025, representing a loss decrease of $137,644, or 18.3%.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Tony Liu, Cheetah’s Chairman and CEO commented: “During the first quarter of 2026, our logistics and warehousing business continued to face pressure uncertainty in global trade, which affected cross-border logistics demand and customer activity. In response, we remained focused on cost discipline, operational efficiency, and preserving financial flexibility, while continuing to evaluate ways to reposition the Company for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quarter, we took important steps to strengthen our capital base and streamline our business structure. We completed a private placement financing transaction, which will help us fund certain future strategic initiatives. We will continue to streamline our logistics and warehousing business to better allocate resources toward higher-priority opportunities and enhance the Company’s overall operating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also completed an ATM financing in April and entered into a Share Transfer Agreement to acquire 100% equity interest in a Hong Kong-based company that is engaged in the trading of large-scale industrial equipment and target to close the deal in May. We believe this acquisition will create international opportunities to expand our business platform and support the Company’s long-term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Continuing operations – logistics and warehousing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reported revenue of $92,700 from its logistics and warehousing services segment, including $39,700, or 42.8% of the Company’s total revenue from Edward Transit Express Group Inc. (“Edward”), which the Company acquired in February 2024, and $53,000, or 57.2% of the Company’s total revenue from TW &amp; EW Services Inc. (“TWEW”), which the Company acquired in November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Edward decreased by 36.5% to $39,700 for the three months ended March 31, 2026, compared to $62,515 for the same period in 2025. The decrease was primarily due to reduced business activities and customer volume at Edward in anticipation of the planned sale of the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TWEW decreased by 87.3% to $53,000 for the three months ended March 31, 2026, compared to $417,284 for the same period in 2025, primarily due to reduced customer demand following changes in tariff policies in 2025. We will continue to focus on improving operational efficiencies and expanding our market presence of TWEW in the California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reported cost of revenue of $72,833 and $423,543 for the three months ended March 31, 2026 and 2025, respectively, primarily reflecting labor and logistics costs for TWEW and ocean freight service costs incurred by Edward.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72961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96150" cy="8191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three months ended March 31, 2026, was $19,867, a decrease of $36,389, or 64.7%, from $56,256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Company’s continuing operations decreased by $230,515, or 23.0%, to $770,004 for the three months ended March 31, 2026 from $1,000,519 for the three months ended March 31, 2025. The decrease was mainly due to (i) a decrease of $165,038 in legal and accounting fees as we recorded the accounting fee for annual audit for Fiscal Year 2024 in the first quarter of 2025, (ii) a decrease of $75,908 in payroll and benefits expense due to staff optimization and cost-saving measures, (iii) a decrease of 28,280 in rental and leases, primarily due to the termination of one of the Company’s office leases, (iv) a decrease of $15,572 in insurance expenses resulting from a change in our insurance provider, (v) a decrease of $10,370 in travel and entertainment expenses during the three months ended March 31, 2026, as the Company reduced discretionary spending and maintained tighter controls over non-essential expenses, (vi) a decrease of $4,560 in depreciation and amortization expenses, as we did an impairment loss on intangible assets in 2025, partially offset by (vii) an increase of $1,862 in recruiting expenses, and (ⅷ) an increase of $67,351 of other miscellaneous general and administration expenses during the three months ended March 31, 2026, primarily due to the increase of other profession fee for TWEW.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were $14,182 and $16,185 for the three months ended March 31, 2026 and 2025, respectively, representing a decrease of $2,003, or 12.4%.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continuing operations was $151,142 for the three months ended March 31, 2026, compared to $208,090 for the three months ended March 31, 2025, representing a decrease of 56,948, or 27.4%. The decrease was primarily due to a reduction in average outstanding loan balances as certain borrowers repaid a portion of their loans, resulting in lower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incurred from our continuing operations was $7,700 for the three months ended March 31, 2026, which slightly decreased by $1,112, or 12.6%, from $8,812 for the three months ended March 31, 2025, mainly due to lower interest incurred on premium finance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$152,454 for the three months ended March 31, 2026, compared to $211,894 for the three months ended March 31, 2025, representing a decrease of $59,440, or 28.1%. The decrease was primarily attributable to lower rental income recognized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 net loss of $616,265 from its continuing operations For the three months ended March 31, 2026, compared to net loss of $753,909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Discontinued Operations- parallel-import vehicle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2025, the Company discontinued its parallel-import vehicle business following a board resolution to that effect, as the Company fully exited its parallel-import vehicle business during the year ended December 31, 2024. The Company did not generate any income or incur any expenses from discontinued operations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operating loss of approximately $0.6 million for three months ended March 31, 2026, and net cash used in operating activities of approximately $2.5 million. As the Company has been transitioning to the logistics and warehousing service business, the Company may continue to incur operating losses and generate negative cash flow. These factors raise doubts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and cash equivalents of approximately $0.7 million and a working capital balance of $7.1 million. In addition, the Company had loan receivable from third parties of approximately $4.4 million, which can be sufficient for the Company to support its ongoing business operations and meet the future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258050" cy="933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58050" cy="93345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296150" cy="819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96150" cy="819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continues its transition to the logistics and warehousing service business, the Company may continue to incur operating losses and generate negative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certain forward-looking statements, including statements that are predictive in nature. Forward-looking statements are based on the Company’s current expectations and assumptions. The Private Securities Litigation Reform Act of 1995 provides a safe harbor for forward-looking statements. These statements may be identified by the use of forward-looking expressions, including, but not limited to, “anticipate,” “believe,” “continue,” “estimate,” “expect,” “future,” “intend,” “may,” “outlook,” “plan,” “potential,” “predict,” “project,” “should,” “will,” “would,” and similar expressions that predict or indicate future events or trends or that are not statements of historical matters, but the absence of these words does not mean that a statement is not forward-looking. The Company undertakes no obligation to publicly update any forward-looking statement, whether as a result of new information, future events or otherwise. Important factors that could cause actual results to differ materially from those in the forward-looking statements are set forth in the Company’s filings with the U.S. Securities and Exchange Commission, including its annual report on Form 10-K, under the caption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418-7804</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ir@cheetah-net.com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58050" cy="933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258050" cy="93345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296150" cy="819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296150" cy="8191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2"/>
        <w:gridCol w:w="60"/>
        <w:gridCol w:w="125"/>
        <w:gridCol w:w="950"/>
        <w:gridCol w:w="80"/>
        <w:gridCol w:w="60"/>
        <w:gridCol w:w="134"/>
        <w:gridCol w:w="1024"/>
        <w:gridCol w:w="90"/>
      </w:tblGrid>
      <w:tr>
        <w:trPr/>
        <w:tc>
          <w:tcPr>
            <w:tcW w:w="76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b/>
                <w:sz w:val="20"/>
              </w:rPr>
            </w:pPr>
            <w:r>
              <w:rPr>
                <w:b/>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gridSpan w:val="2"/>
            <w:tcBorders/>
            <w:vAlign w:val="center"/>
          </w:tcPr>
          <w:p>
            <w:pPr>
              <w:pStyle w:val="TableContents"/>
              <w:bidi w:val="0"/>
              <w:spacing w:before="0" w:after="283"/>
              <w:jc w:val="center"/>
              <w:rPr>
                <w:b/>
                <w:sz w:val="20"/>
              </w:rPr>
            </w:pPr>
            <w:r>
              <w:rPr>
                <w:b/>
                <w:sz w:val="20"/>
              </w:rPr>
              <w:t>December 31,</w:t>
            </w:r>
          </w:p>
        </w:tc>
        <w:tc>
          <w:tcPr>
            <w:tcW w:w="90" w:type="dxa"/>
            <w:tcBorders/>
            <w:vAlign w:val="center"/>
          </w:tcPr>
          <w:p>
            <w:pPr>
              <w:pStyle w:val="TableContents"/>
              <w:bidi w:val="0"/>
              <w:spacing w:before="0" w:after="283"/>
              <w:jc w:val="left"/>
              <w:rPr/>
            </w:pPr>
            <w:r>
              <w:rPr/>
              <w:t> </w:t>
            </w:r>
          </w:p>
        </w:tc>
      </w:tr>
      <w:tr>
        <w:trPr/>
        <w:tc>
          <w:tcPr>
            <w:tcW w:w="76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0" w:type="dxa"/>
            <w:tcBorders/>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b/>
                <w:sz w:val="20"/>
              </w:rPr>
            </w:pPr>
            <w:r>
              <w:rPr>
                <w:b/>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713,948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1024" w:type="dxa"/>
            <w:tcBorders/>
            <w:shd w:fill="CCEEFF" w:val="clear"/>
            <w:vAlign w:val="center"/>
          </w:tcPr>
          <w:p>
            <w:pPr>
              <w:pStyle w:val="TableContents"/>
              <w:bidi w:val="0"/>
              <w:spacing w:before="0" w:after="283"/>
              <w:jc w:val="right"/>
              <w:rPr>
                <w:sz w:val="20"/>
              </w:rPr>
            </w:pPr>
            <w:r>
              <w:rPr>
                <w:sz w:val="20"/>
              </w:rPr>
              <w:t>233,217</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sz w:val="20"/>
              </w:rPr>
            </w:pPr>
            <w:r>
              <w:rPr>
                <w:sz w:val="20"/>
              </w:rPr>
              <w:t>6,540</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Loan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4,441,513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20"/>
              </w:rPr>
            </w:pPr>
            <w:r>
              <w:rPr>
                <w:sz w:val="20"/>
              </w:rPr>
              <w:t>7,430,111</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Other receivables,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698,326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sz w:val="20"/>
              </w:rPr>
            </w:pPr>
            <w:r>
              <w:rPr>
                <w:sz w:val="20"/>
              </w:rPr>
              <w:t>1,157,130</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2,390,989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20"/>
              </w:rPr>
            </w:pPr>
            <w:r>
              <w:rPr>
                <w:sz w:val="20"/>
              </w:rPr>
              <w:t>238,648</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Deposit on long-term investment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40,131,287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b/>
                <w:sz w:val="20"/>
              </w:rPr>
            </w:pPr>
            <w:r>
              <w:rPr>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b/>
                <w:sz w:val="20"/>
              </w:rPr>
            </w:pPr>
            <w:r>
              <w:rPr>
                <w:b/>
                <w:sz w:val="20"/>
              </w:rPr>
              <w:t>48,377,713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b/>
                <w:sz w:val="20"/>
              </w:rPr>
            </w:pPr>
            <w:r>
              <w:rPr>
                <w:b/>
                <w:sz w:val="20"/>
              </w:rPr>
              <w:t>9,065,646</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b/>
                <w:sz w:val="20"/>
              </w:rPr>
            </w:pPr>
            <w:r>
              <w:rPr>
                <w:b/>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348,986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20"/>
              </w:rPr>
            </w:pPr>
            <w:r>
              <w:rPr>
                <w:sz w:val="20"/>
              </w:rPr>
              <w:t>358,868</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1,023,424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sz w:val="20"/>
              </w:rPr>
            </w:pPr>
            <w:r>
              <w:rPr>
                <w:sz w:val="20"/>
              </w:rPr>
              <w:t>1,165,517</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Intangibles,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769,060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20"/>
              </w:rPr>
            </w:pPr>
            <w:r>
              <w:rPr>
                <w:sz w:val="20"/>
              </w:rPr>
              <w:t>792,571</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475,862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sz w:val="20"/>
              </w:rPr>
            </w:pPr>
            <w:r>
              <w:rPr>
                <w:sz w:val="20"/>
              </w:rPr>
              <w:t>475,862</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b/>
                <w:sz w:val="20"/>
              </w:rPr>
            </w:pPr>
            <w:r>
              <w:rPr>
                <w:b/>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2,617,332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2,792,818</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50,995,045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11,858,464</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b/>
                <w:sz w:val="20"/>
              </w:rPr>
            </w:pPr>
            <w:r>
              <w:rPr>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50" w:type="dxa"/>
            <w:tcBorders/>
            <w:shd w:fill="FFFFFF" w:val="clear"/>
            <w:vAlign w:val="center"/>
          </w:tcPr>
          <w:p>
            <w:pPr>
              <w:pStyle w:val="TableContents"/>
              <w:bidi w:val="0"/>
              <w:spacing w:before="0" w:after="283"/>
              <w:jc w:val="right"/>
              <w:rPr>
                <w:sz w:val="20"/>
              </w:rPr>
            </w:pPr>
            <w:r>
              <w:rPr>
                <w:sz w:val="20"/>
              </w:rPr>
              <w:t>6,778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sz w:val="20"/>
              </w:rPr>
            </w:pPr>
            <w:r>
              <w:rPr>
                <w:sz w:val="20"/>
              </w:rPr>
              <w:t>$</w:t>
            </w:r>
          </w:p>
        </w:tc>
        <w:tc>
          <w:tcPr>
            <w:tcW w:w="1024" w:type="dxa"/>
            <w:tcBorders/>
            <w:shd w:fill="FFFFFF" w:val="clear"/>
            <w:vAlign w:val="center"/>
          </w:tcPr>
          <w:p>
            <w:pPr>
              <w:pStyle w:val="TableContents"/>
              <w:bidi w:val="0"/>
              <w:spacing w:before="0" w:after="283"/>
              <w:jc w:val="right"/>
              <w:rPr>
                <w:sz w:val="20"/>
              </w:rPr>
            </w:pPr>
            <w:r>
              <w:rPr>
                <w:sz w:val="20"/>
              </w:rPr>
              <w:t>32,762</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36,814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20"/>
              </w:rPr>
            </w:pPr>
            <w:r>
              <w:rPr>
                <w:sz w:val="20"/>
              </w:rPr>
              <w:t>35,902</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Loans payable from premium finance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33,353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sz w:val="20"/>
              </w:rPr>
            </w:pPr>
            <w:r>
              <w:rPr>
                <w:sz w:val="20"/>
              </w:rPr>
              <w:t>82,650</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Due to a related party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20"/>
              </w:rPr>
            </w:pPr>
            <w:r>
              <w:rPr>
                <w:sz w:val="20"/>
              </w:rPr>
              <w:t>5,204</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620,594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sz w:val="20"/>
              </w:rPr>
            </w:pPr>
            <w:r>
              <w:rPr>
                <w:sz w:val="20"/>
              </w:rPr>
              <w:t>594,407</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Accrued liabilities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415,256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594,693</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b/>
                <w:sz w:val="20"/>
              </w:rPr>
            </w:pPr>
            <w:r>
              <w:rPr>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b/>
                <w:sz w:val="20"/>
              </w:rPr>
            </w:pPr>
            <w:r>
              <w:rPr>
                <w:b/>
                <w:sz w:val="20"/>
              </w:rPr>
              <w:t>1,119,508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b/>
                <w:sz w:val="20"/>
              </w:rPr>
            </w:pPr>
            <w:r>
              <w:rPr>
                <w:b/>
                <w:sz w:val="20"/>
              </w:rPr>
              <w:t>1,345,618</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b/>
                <w:sz w:val="20"/>
              </w:rPr>
            </w:pPr>
            <w:r>
              <w:rPr>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Long-term debt, net of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562,399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sz w:val="20"/>
              </w:rPr>
            </w:pPr>
            <w:r>
              <w:rPr>
                <w:sz w:val="20"/>
              </w:rPr>
              <w:t>572,653</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419,634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20"/>
              </w:rPr>
            </w:pPr>
            <w:r>
              <w:rPr>
                <w:sz w:val="20"/>
              </w:rPr>
              <w:t>584,606</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b/>
                <w:sz w:val="20"/>
              </w:rPr>
            </w:pPr>
            <w:r>
              <w:rPr>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b/>
                <w:sz w:val="20"/>
              </w:rPr>
            </w:pPr>
            <w:r>
              <w:rPr>
                <w:b/>
                <w:sz w:val="20"/>
              </w:rPr>
              <w:t>982,033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b/>
                <w:sz w:val="20"/>
              </w:rPr>
            </w:pPr>
            <w:r>
              <w:rPr>
                <w:b/>
                <w:sz w:val="20"/>
              </w:rPr>
              <w:t>1,157,259</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2,101,541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2,502,877</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b/>
                <w:sz w:val="20"/>
              </w:rPr>
            </w:pPr>
            <w:r>
              <w:rPr>
                <w:b/>
                <w:sz w:val="20"/>
              </w:rPr>
              <w:t>COMMITMENTS AND CONTINGENCIES (Note 16)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b/>
                <w:sz w:val="20"/>
              </w:rPr>
            </w:pPr>
            <w:r>
              <w:rPr>
                <w:b/>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Common stock, $0.0001 par value, 2,200,000,000 shares authorized; 184,346 and 17,096 shares issued and outstanding, including: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Class A common stock, $0.0001 par value, 2,000,000,000 shares authorized, 180,890 and 13,640 shares issued and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20"/>
              </w:rPr>
            </w:pPr>
            <w:r>
              <w:rPr>
                <w:sz w:val="20"/>
              </w:rPr>
              <w:t>1</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Class B common stock, $0.0001 par value, 200,000,000 shares authorized, 3,456 and 3,456 shares issued and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sz w:val="20"/>
              </w:rPr>
            </w:pPr>
            <w:r>
              <w:rPr>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57,840,065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sz w:val="20"/>
              </w:rPr>
            </w:pPr>
            <w:r>
              <w:rPr>
                <w:sz w:val="20"/>
              </w:rPr>
              <w:t>17,685,900</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sz w:val="20"/>
              </w:rPr>
            </w:pPr>
            <w:r>
              <w:rPr>
                <w:sz w:val="20"/>
              </w:rPr>
              <w:t>(Accumulated deficit) 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(8,946,579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(8,330,314</w:t>
            </w:r>
          </w:p>
        </w:tc>
        <w:tc>
          <w:tcPr>
            <w:tcW w:w="90" w:type="dxa"/>
            <w:tcBorders/>
            <w:shd w:fill="FFFFFF" w:val="clear"/>
            <w:vAlign w:val="center"/>
          </w:tcPr>
          <w:p>
            <w:pPr>
              <w:pStyle w:val="TableContents"/>
              <w:bidi w:val="0"/>
              <w:spacing w:before="0" w:after="283"/>
              <w:ind w:left="0" w:right="0" w:hanging="144"/>
              <w:jc w:val="left"/>
              <w:rPr>
                <w:sz w:val="20"/>
              </w:rPr>
            </w:pPr>
            <w:r>
              <w:rPr>
                <w:sz w:val="20"/>
              </w:rPr>
              <w:t>)</w:t>
            </w:r>
          </w:p>
        </w:tc>
      </w:tr>
      <w:tr>
        <w:trPr/>
        <w:tc>
          <w:tcPr>
            <w:tcW w:w="7682" w:type="dxa"/>
            <w:tcBorders/>
            <w:shd w:fill="CCEEFF" w:val="clear"/>
            <w:vAlign w:val="center"/>
          </w:tcPr>
          <w:p>
            <w:pPr>
              <w:pStyle w:val="TableContents"/>
              <w:bidi w:val="0"/>
              <w:spacing w:before="0" w:after="283"/>
              <w:jc w:val="left"/>
              <w:rPr>
                <w:b/>
                <w:sz w:val="20"/>
              </w:rPr>
            </w:pPr>
            <w:r>
              <w:rPr>
                <w:b/>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b/>
                <w:sz w:val="20"/>
              </w:rPr>
            </w:pPr>
            <w:r>
              <w:rPr>
                <w:b/>
                <w:sz w:val="20"/>
              </w:rPr>
              <w:t>48,893,504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b/>
                <w:sz w:val="20"/>
              </w:rPr>
            </w:pPr>
            <w:r>
              <w:rPr>
                <w:b/>
                <w:sz w:val="20"/>
              </w:rPr>
              <w:t>9,355,587</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682" w:type="dxa"/>
            <w:tcBorders/>
            <w:shd w:fill="CCEEFF" w:val="clear"/>
            <w:vAlign w:val="center"/>
          </w:tcPr>
          <w:p>
            <w:pPr>
              <w:pStyle w:val="TableContents"/>
              <w:bidi w:val="0"/>
              <w:spacing w:before="0" w:after="283"/>
              <w:jc w:val="left"/>
              <w:rPr>
                <w:b/>
                <w:sz w:val="20"/>
              </w:rPr>
            </w:pPr>
            <w:r>
              <w:rPr>
                <w:b/>
                <w:sz w:val="20"/>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50,995,045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11,858,464</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258050" cy="933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258050" cy="933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296150" cy="819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296150" cy="8191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9702" w:type="dxa"/>
        <w:jc w:val="left"/>
        <w:tblInd w:w="0" w:type="dxa"/>
        <w:tblLayout w:type="fixed"/>
        <w:tblCellMar>
          <w:top w:w="0" w:type="dxa"/>
          <w:left w:w="0" w:type="dxa"/>
          <w:bottom w:w="0" w:type="dxa"/>
          <w:right w:w="0" w:type="dxa"/>
        </w:tblCellMar>
      </w:tblPr>
      <w:tblGrid>
        <w:gridCol w:w="6185"/>
        <w:gridCol w:w="60"/>
        <w:gridCol w:w="211"/>
        <w:gridCol w:w="1276"/>
        <w:gridCol w:w="135"/>
        <w:gridCol w:w="101"/>
        <w:gridCol w:w="211"/>
        <w:gridCol w:w="1428"/>
        <w:gridCol w:w="95"/>
      </w:tblGrid>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 March 31,</w:t>
            </w:r>
          </w:p>
        </w:tc>
        <w:tc>
          <w:tcPr>
            <w:tcW w:w="95"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b/>
                <w:sz w:val="20"/>
              </w:rPr>
            </w:pPr>
            <w:r>
              <w:rPr>
                <w:b/>
                <w:sz w:val="20"/>
              </w:rPr>
              <w:t>$</w:t>
            </w:r>
          </w:p>
        </w:tc>
        <w:tc>
          <w:tcPr>
            <w:tcW w:w="1276" w:type="dxa"/>
            <w:tcBorders/>
            <w:shd w:fill="CCEEFF" w:val="clear"/>
            <w:vAlign w:val="center"/>
          </w:tcPr>
          <w:p>
            <w:pPr>
              <w:pStyle w:val="TableContents"/>
              <w:bidi w:val="0"/>
              <w:spacing w:before="0" w:after="283"/>
              <w:jc w:val="right"/>
              <w:rPr>
                <w:b/>
                <w:sz w:val="20"/>
              </w:rPr>
            </w:pPr>
            <w:r>
              <w:rPr>
                <w:b/>
                <w:sz w:val="20"/>
              </w:rPr>
              <w:t>92,700</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b/>
                <w:sz w:val="20"/>
              </w:rPr>
            </w:pPr>
            <w:r>
              <w:rPr>
                <w:b/>
                <w:sz w:val="20"/>
              </w:rPr>
              <w:t>$</w:t>
            </w:r>
          </w:p>
        </w:tc>
        <w:tc>
          <w:tcPr>
            <w:tcW w:w="1428" w:type="dxa"/>
            <w:tcBorders/>
            <w:shd w:fill="CCEEFF" w:val="clear"/>
            <w:vAlign w:val="center"/>
          </w:tcPr>
          <w:p>
            <w:pPr>
              <w:pStyle w:val="TableContents"/>
              <w:bidi w:val="0"/>
              <w:spacing w:before="0" w:after="283"/>
              <w:jc w:val="right"/>
              <w:rPr>
                <w:b/>
                <w:sz w:val="20"/>
              </w:rPr>
            </w:pPr>
            <w:r>
              <w:rPr>
                <w:b/>
                <w:sz w:val="20"/>
              </w:rPr>
              <w:t>479,799</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sz w:val="20"/>
              </w:rPr>
            </w:pPr>
            <w:r>
              <w:rPr>
                <w:sz w:val="20"/>
              </w:rPr>
              <w:t>COST OF REVENUE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sz w:val="20"/>
              </w:rPr>
            </w:pPr>
            <w:r>
              <w:rPr>
                <w:sz w:val="20"/>
              </w:rPr>
              <w:t>72,833</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sz w:val="20"/>
              </w:rPr>
            </w:pPr>
            <w:r>
              <w:rPr>
                <w:sz w:val="20"/>
              </w:rPr>
              <w:t>423,543</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19,867</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56,256</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sz w:val="20"/>
              </w:rPr>
            </w:pPr>
            <w:r>
              <w:rPr>
                <w:sz w:val="20"/>
              </w:rPr>
              <w:t>770,004</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sz w:val="20"/>
              </w:rPr>
            </w:pPr>
            <w:r>
              <w:rPr>
                <w:sz w:val="20"/>
              </w:rPr>
              <w:t>1,000,519</w:t>
            </w:r>
          </w:p>
        </w:tc>
        <w:tc>
          <w:tcPr>
            <w:tcW w:w="9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sz w:val="20"/>
              </w:rPr>
            </w:pPr>
            <w:r>
              <w:rPr>
                <w:sz w:val="20"/>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14,182</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16,185</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784,186</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1,016,704</w:t>
            </w:r>
          </w:p>
        </w:tc>
        <w:tc>
          <w:tcPr>
            <w:tcW w:w="9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sz w:val="20"/>
              </w:rPr>
            </w:pPr>
            <w:r>
              <w:rPr>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(764,319</w:t>
            </w:r>
          </w:p>
        </w:tc>
        <w:tc>
          <w:tcPr>
            <w:tcW w:w="135" w:type="dxa"/>
            <w:tcBorders/>
            <w:shd w:fill="FFFFFF" w:val="clear"/>
            <w:vAlign w:val="center"/>
          </w:tcPr>
          <w:p>
            <w:pPr>
              <w:pStyle w:val="TableContents"/>
              <w:bidi w:val="0"/>
              <w:spacing w:before="0" w:after="283"/>
              <w:jc w:val="left"/>
              <w:rPr>
                <w:sz w:val="20"/>
              </w:rPr>
            </w:pPr>
            <w:r>
              <w:rPr>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(960,448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sz w:val="20"/>
              </w:rPr>
            </w:pPr>
            <w:r>
              <w:rPr>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sz w:val="20"/>
              </w:rPr>
            </w:pPr>
            <w:r>
              <w:rPr>
                <w:sz w:val="20"/>
              </w:rPr>
              <w:t>Interest income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sz w:val="20"/>
              </w:rPr>
            </w:pPr>
            <w:r>
              <w:rPr>
                <w:sz w:val="20"/>
              </w:rPr>
              <w:t>151,142</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sz w:val="20"/>
              </w:rPr>
            </w:pPr>
            <w:r>
              <w:rPr>
                <w:sz w:val="20"/>
              </w:rPr>
              <w:t>208,090</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sz w:val="20"/>
              </w:rPr>
            </w:pPr>
            <w:r>
              <w:rPr>
                <w:sz w:val="20"/>
              </w:rPr>
              <w:t>Interest expenses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sz w:val="20"/>
              </w:rPr>
            </w:pPr>
            <w:r>
              <w:rPr>
                <w:sz w:val="20"/>
              </w:rPr>
              <w:t>(7,700</w:t>
            </w:r>
          </w:p>
        </w:tc>
        <w:tc>
          <w:tcPr>
            <w:tcW w:w="135" w:type="dxa"/>
            <w:tcBorders/>
            <w:shd w:fill="FFFFFF" w:val="clear"/>
            <w:vAlign w:val="center"/>
          </w:tcPr>
          <w:p>
            <w:pPr>
              <w:pStyle w:val="TableContents"/>
              <w:bidi w:val="0"/>
              <w:spacing w:before="0" w:after="283"/>
              <w:jc w:val="left"/>
              <w:rPr>
                <w:sz w:val="20"/>
              </w:rPr>
            </w:pPr>
            <w:r>
              <w:rPr>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sz w:val="20"/>
              </w:rPr>
            </w:pPr>
            <w:r>
              <w:rPr>
                <w:sz w:val="20"/>
              </w:rPr>
              <w:t>(8,812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185" w:type="dxa"/>
            <w:tcBorders/>
            <w:shd w:fill="CCEEFF" w:val="clear"/>
            <w:vAlign w:val="center"/>
          </w:tcPr>
          <w:p>
            <w:pPr>
              <w:pStyle w:val="TableContents"/>
              <w:bidi w:val="0"/>
              <w:spacing w:before="0" w:after="283"/>
              <w:jc w:val="left"/>
              <w:rPr>
                <w:sz w:val="20"/>
              </w:rPr>
            </w:pPr>
            <w:r>
              <w:rPr>
                <w:sz w:val="20"/>
              </w:rPr>
              <w:t>Other income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9,012</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12,616</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sz w:val="20"/>
              </w:rPr>
            </w:pPr>
            <w:r>
              <w:rPr>
                <w:sz w:val="20"/>
              </w:rPr>
              <w:t>OTHER INCOME (EXPENSES), NET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152,454</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211,894</w:t>
            </w:r>
          </w:p>
        </w:tc>
        <w:tc>
          <w:tcPr>
            <w:tcW w:w="9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b/>
                <w:sz w:val="20"/>
              </w:rPr>
            </w:pPr>
            <w:r>
              <w:rPr>
                <w:b/>
                <w:sz w:val="20"/>
              </w:rPr>
              <w:t>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sz w:val="20"/>
              </w:rPr>
            </w:pPr>
            <w:r>
              <w:rPr>
                <w:b/>
                <w:sz w:val="20"/>
              </w:rPr>
              <w:t>(611,865</w:t>
            </w:r>
          </w:p>
        </w:tc>
        <w:tc>
          <w:tcPr>
            <w:tcW w:w="135" w:type="dxa"/>
            <w:tcBorders/>
            <w:shd w:fill="FFFFFF" w:val="clear"/>
            <w:vAlign w:val="center"/>
          </w:tcPr>
          <w:p>
            <w:pPr>
              <w:pStyle w:val="TableContents"/>
              <w:bidi w:val="0"/>
              <w:spacing w:before="0" w:after="283"/>
              <w:jc w:val="left"/>
              <w:rPr>
                <w:b/>
                <w:sz w:val="20"/>
              </w:rPr>
            </w:pPr>
            <w:r>
              <w:rPr>
                <w:b/>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b/>
                <w:sz w:val="20"/>
              </w:rPr>
            </w:pPr>
            <w:r>
              <w:rPr>
                <w:b/>
                <w:sz w:val="20"/>
              </w:rPr>
              <w:t>(748,554</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sz w:val="20"/>
              </w:rPr>
            </w:pPr>
            <w:r>
              <w:rPr>
                <w:sz w:val="20"/>
              </w:rPr>
              <w:t>Income tax (benefits)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4,400</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5,355</w:t>
            </w:r>
          </w:p>
        </w:tc>
        <w:tc>
          <w:tcPr>
            <w:tcW w:w="9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b/>
                <w:sz w:val="20"/>
              </w:rPr>
            </w:pPr>
            <w:r>
              <w:rPr>
                <w:b/>
                <w:sz w:val="20"/>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(616,265</w:t>
            </w:r>
          </w:p>
        </w:tc>
        <w:tc>
          <w:tcPr>
            <w:tcW w:w="135" w:type="dxa"/>
            <w:tcBorders/>
            <w:shd w:fill="FFFFFF" w:val="clear"/>
            <w:vAlign w:val="center"/>
          </w:tcPr>
          <w:p>
            <w:pPr>
              <w:pStyle w:val="TableContents"/>
              <w:bidi w:val="0"/>
              <w:spacing w:before="0" w:after="283"/>
              <w:jc w:val="left"/>
              <w:rPr>
                <w:b/>
                <w:sz w:val="20"/>
              </w:rPr>
            </w:pPr>
            <w:r>
              <w:rPr>
                <w:b/>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(753,909</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b/>
                <w:sz w:val="20"/>
              </w:rPr>
            </w:pPr>
            <w:r>
              <w:rPr>
                <w:b/>
                <w:sz w:val="20"/>
              </w:rPr>
              <w:t>NET LOSS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b/>
                <w:sz w:val="20"/>
              </w:rPr>
            </w:pPr>
            <w:r>
              <w:rPr>
                <w:b/>
                <w:sz w:val="20"/>
              </w:rPr>
              <w:t>$</w:t>
            </w:r>
          </w:p>
        </w:tc>
        <w:tc>
          <w:tcPr>
            <w:tcW w:w="1276" w:type="dxa"/>
            <w:tcBorders/>
            <w:shd w:fill="FFFFFF" w:val="clear"/>
            <w:vAlign w:val="center"/>
          </w:tcPr>
          <w:p>
            <w:pPr>
              <w:pStyle w:val="TableContents"/>
              <w:bidi w:val="0"/>
              <w:spacing w:before="0" w:after="283"/>
              <w:jc w:val="right"/>
              <w:rPr>
                <w:b/>
                <w:sz w:val="20"/>
              </w:rPr>
            </w:pPr>
            <w:r>
              <w:rPr>
                <w:b/>
                <w:sz w:val="20"/>
              </w:rPr>
              <w:t>(616,265</w:t>
            </w:r>
          </w:p>
        </w:tc>
        <w:tc>
          <w:tcPr>
            <w:tcW w:w="135" w:type="dxa"/>
            <w:tcBorders/>
            <w:shd w:fill="FFFFFF" w:val="clear"/>
            <w:vAlign w:val="center"/>
          </w:tcPr>
          <w:p>
            <w:pPr>
              <w:pStyle w:val="TableContents"/>
              <w:bidi w:val="0"/>
              <w:spacing w:before="0" w:after="283"/>
              <w:jc w:val="left"/>
              <w:rPr>
                <w:b/>
                <w:sz w:val="20"/>
              </w:rPr>
            </w:pPr>
            <w:r>
              <w:rPr>
                <w:b/>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b/>
                <w:sz w:val="20"/>
              </w:rPr>
            </w:pPr>
            <w:r>
              <w:rPr>
                <w:b/>
                <w:sz w:val="20"/>
              </w:rPr>
              <w:t>$</w:t>
            </w:r>
          </w:p>
        </w:tc>
        <w:tc>
          <w:tcPr>
            <w:tcW w:w="1428" w:type="dxa"/>
            <w:tcBorders/>
            <w:shd w:fill="FFFFFF" w:val="clear"/>
            <w:vAlign w:val="center"/>
          </w:tcPr>
          <w:p>
            <w:pPr>
              <w:pStyle w:val="TableContents"/>
              <w:bidi w:val="0"/>
              <w:spacing w:before="0" w:after="283"/>
              <w:jc w:val="right"/>
              <w:rPr>
                <w:b/>
                <w:sz w:val="20"/>
              </w:rPr>
            </w:pPr>
            <w:r>
              <w:rPr>
                <w:b/>
                <w:sz w:val="20"/>
              </w:rPr>
              <w:t>(753,909</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sz w:val="20"/>
              </w:rPr>
            </w:pPr>
            <w:r>
              <w:rPr>
                <w:sz w:val="20"/>
              </w:rPr>
              <w:t>Loss from continuing operations per ordinary share - basic and diluted</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sz w:val="20"/>
              </w:rPr>
            </w:pPr>
            <w:r>
              <w:rPr>
                <w:sz w:val="20"/>
              </w:rPr>
              <w:t>$</w:t>
            </w:r>
          </w:p>
        </w:tc>
        <w:tc>
          <w:tcPr>
            <w:tcW w:w="1276" w:type="dxa"/>
            <w:tcBorders/>
            <w:shd w:fill="FFFFFF" w:val="clear"/>
            <w:vAlign w:val="center"/>
          </w:tcPr>
          <w:p>
            <w:pPr>
              <w:pStyle w:val="TableContents"/>
              <w:bidi w:val="0"/>
              <w:spacing w:before="0" w:after="283"/>
              <w:jc w:val="right"/>
              <w:rPr>
                <w:sz w:val="20"/>
              </w:rPr>
            </w:pPr>
            <w:r>
              <w:rPr>
                <w:sz w:val="20"/>
              </w:rPr>
              <w:t>(4.53</w:t>
            </w:r>
          </w:p>
        </w:tc>
        <w:tc>
          <w:tcPr>
            <w:tcW w:w="135" w:type="dxa"/>
            <w:tcBorders/>
            <w:shd w:fill="FFFFFF" w:val="clear"/>
            <w:vAlign w:val="center"/>
          </w:tcPr>
          <w:p>
            <w:pPr>
              <w:pStyle w:val="TableContents"/>
              <w:bidi w:val="0"/>
              <w:spacing w:before="0" w:after="283"/>
              <w:jc w:val="left"/>
              <w:rPr>
                <w:sz w:val="20"/>
              </w:rPr>
            </w:pPr>
            <w:r>
              <w:rPr>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sz w:val="20"/>
              </w:rPr>
            </w:pPr>
            <w:r>
              <w:rPr>
                <w:sz w:val="20"/>
              </w:rPr>
              <w:t>$</w:t>
            </w:r>
          </w:p>
        </w:tc>
        <w:tc>
          <w:tcPr>
            <w:tcW w:w="1428" w:type="dxa"/>
            <w:tcBorders/>
            <w:shd w:fill="FFFFFF" w:val="clear"/>
            <w:vAlign w:val="center"/>
          </w:tcPr>
          <w:p>
            <w:pPr>
              <w:pStyle w:val="TableContents"/>
              <w:bidi w:val="0"/>
              <w:spacing w:before="0" w:after="283"/>
              <w:jc w:val="right"/>
              <w:rPr>
                <w:sz w:val="20"/>
              </w:rPr>
            </w:pPr>
            <w:r>
              <w:rPr>
                <w:sz w:val="20"/>
              </w:rPr>
              <w:t>(46.84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185" w:type="dxa"/>
            <w:tcBorders/>
            <w:shd w:fill="CCEEFF" w:val="clear"/>
            <w:vAlign w:val="center"/>
          </w:tcPr>
          <w:p>
            <w:pPr>
              <w:pStyle w:val="TableContents"/>
              <w:bidi w:val="0"/>
              <w:spacing w:before="0" w:after="283"/>
              <w:jc w:val="left"/>
              <w:rPr>
                <w:sz w:val="20"/>
              </w:rPr>
            </w:pPr>
            <w:r>
              <w:rPr>
                <w:sz w:val="20"/>
              </w:rPr>
              <w:t>Loss from discontinued operations per ordinary share - basic and diluted</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20"/>
              </w:rPr>
            </w:pPr>
            <w:r>
              <w:rPr>
                <w:sz w:val="20"/>
              </w:rPr>
              <w:t>$</w:t>
            </w:r>
          </w:p>
        </w:tc>
        <w:tc>
          <w:tcPr>
            <w:tcW w:w="1276" w:type="dxa"/>
            <w:tcBorders/>
            <w:shd w:fill="CCEEFF" w:val="clear"/>
            <w:vAlign w:val="center"/>
          </w:tcPr>
          <w:p>
            <w:pPr>
              <w:pStyle w:val="TableContents"/>
              <w:bidi w:val="0"/>
              <w:spacing w:before="0" w:after="283"/>
              <w:jc w:val="right"/>
              <w:rPr>
                <w:sz w:val="20"/>
              </w:rPr>
            </w:pPr>
            <w:r>
              <w:rPr>
                <w:sz w:val="20"/>
              </w:rPr>
              <w:t>0.00</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20"/>
              </w:rPr>
            </w:pPr>
            <w:r>
              <w:rPr>
                <w:sz w:val="20"/>
              </w:rPr>
              <w:t>$</w:t>
            </w:r>
          </w:p>
        </w:tc>
        <w:tc>
          <w:tcPr>
            <w:tcW w:w="1428" w:type="dxa"/>
            <w:tcBorders/>
            <w:shd w:fill="CCEEFF" w:val="clear"/>
            <w:vAlign w:val="center"/>
          </w:tcPr>
          <w:p>
            <w:pPr>
              <w:pStyle w:val="TableContents"/>
              <w:bidi w:val="0"/>
              <w:spacing w:before="0" w:after="283"/>
              <w:jc w:val="right"/>
              <w:rPr>
                <w:sz w:val="20"/>
              </w:rPr>
            </w:pPr>
            <w:r>
              <w:rPr>
                <w:sz w:val="20"/>
              </w:rPr>
              <w:t>0.00</w:t>
            </w:r>
          </w:p>
        </w:tc>
        <w:tc>
          <w:tcPr>
            <w:tcW w:w="9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sz w:val="20"/>
              </w:rPr>
            </w:pPr>
            <w:r>
              <w:rPr>
                <w:sz w:val="20"/>
              </w:rPr>
              <w:t>Loss per share - basic and diluted</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(4.53</w:t>
            </w:r>
          </w:p>
        </w:tc>
        <w:tc>
          <w:tcPr>
            <w:tcW w:w="135" w:type="dxa"/>
            <w:tcBorders/>
            <w:shd w:fill="FFFFFF" w:val="clear"/>
            <w:vAlign w:val="center"/>
          </w:tcPr>
          <w:p>
            <w:pPr>
              <w:pStyle w:val="TableContents"/>
              <w:bidi w:val="0"/>
              <w:spacing w:before="0" w:after="283"/>
              <w:jc w:val="left"/>
              <w:rPr>
                <w:sz w:val="20"/>
              </w:rPr>
            </w:pPr>
            <w:r>
              <w:rPr>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185" w:type="dxa"/>
            <w:tcBorders/>
            <w:shd w:fill="CCEEFF" w:val="clear"/>
            <w:vAlign w:val="center"/>
          </w:tcPr>
          <w:p>
            <w:pPr>
              <w:pStyle w:val="TableContents"/>
              <w:bidi w:val="0"/>
              <w:spacing w:before="0" w:after="283"/>
              <w:jc w:val="left"/>
              <w:rPr>
                <w:sz w:val="20"/>
              </w:rPr>
            </w:pPr>
            <w:r>
              <w:rPr>
                <w:sz w:val="20"/>
              </w:rPr>
              <w:t>Weighted average shares - basic and diluted</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136,029</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16,096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258050" cy="933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258050" cy="93345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7296150" cy="819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296150" cy="819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712" w:type="dxa"/>
        <w:jc w:val="left"/>
        <w:tblInd w:w="0" w:type="dxa"/>
        <w:tblLayout w:type="fixed"/>
        <w:tblCellMar>
          <w:top w:w="0" w:type="dxa"/>
          <w:left w:w="0" w:type="dxa"/>
          <w:bottom w:w="0" w:type="dxa"/>
          <w:right w:w="0" w:type="dxa"/>
        </w:tblCellMar>
      </w:tblPr>
      <w:tblGrid>
        <w:gridCol w:w="5855"/>
        <w:gridCol w:w="60"/>
        <w:gridCol w:w="146"/>
        <w:gridCol w:w="1185"/>
        <w:gridCol w:w="93"/>
        <w:gridCol w:w="70"/>
        <w:gridCol w:w="146"/>
        <w:gridCol w:w="1062"/>
        <w:gridCol w:w="95"/>
      </w:tblGrid>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March 31,</w:t>
            </w:r>
          </w:p>
        </w:tc>
        <w:tc>
          <w:tcPr>
            <w:tcW w:w="9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b/>
                <w:sz w:val="20"/>
              </w:rPr>
            </w:pPr>
            <w:r>
              <w:rPr>
                <w:b/>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sz w:val="20"/>
              </w:rPr>
            </w:pPr>
            <w:r>
              <w:rPr>
                <w:b/>
                <w:sz w:val="20"/>
              </w:rPr>
              <w:t>$</w:t>
            </w:r>
          </w:p>
        </w:tc>
        <w:tc>
          <w:tcPr>
            <w:tcW w:w="1185" w:type="dxa"/>
            <w:tcBorders/>
            <w:shd w:fill="CCEEFF" w:val="clear"/>
            <w:vAlign w:val="center"/>
          </w:tcPr>
          <w:p>
            <w:pPr>
              <w:pStyle w:val="TableContents"/>
              <w:bidi w:val="0"/>
              <w:spacing w:before="0" w:after="283"/>
              <w:jc w:val="right"/>
              <w:rPr>
                <w:b/>
                <w:sz w:val="20"/>
              </w:rPr>
            </w:pPr>
            <w:r>
              <w:rPr>
                <w:b/>
                <w:sz w:val="20"/>
              </w:rPr>
              <w:t>(616,265</w:t>
            </w:r>
          </w:p>
        </w:tc>
        <w:tc>
          <w:tcPr>
            <w:tcW w:w="93" w:type="dxa"/>
            <w:tcBorders/>
            <w:shd w:fill="CCEEFF" w:val="clear"/>
            <w:vAlign w:val="center"/>
          </w:tcPr>
          <w:p>
            <w:pPr>
              <w:pStyle w:val="TableContents"/>
              <w:bidi w:val="0"/>
              <w:spacing w:before="0" w:after="283"/>
              <w:jc w:val="left"/>
              <w:rPr>
                <w:b/>
                <w:sz w:val="20"/>
              </w:rPr>
            </w:pPr>
            <w:r>
              <w:rPr>
                <w:b/>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sz w:val="20"/>
              </w:rPr>
            </w:pPr>
            <w:r>
              <w:rPr>
                <w:b/>
                <w:sz w:val="20"/>
              </w:rPr>
              <w:t>$</w:t>
            </w:r>
          </w:p>
        </w:tc>
        <w:tc>
          <w:tcPr>
            <w:tcW w:w="1062" w:type="dxa"/>
            <w:tcBorders/>
            <w:shd w:fill="CCEEFF" w:val="clear"/>
            <w:vAlign w:val="center"/>
          </w:tcPr>
          <w:p>
            <w:pPr>
              <w:pStyle w:val="TableContents"/>
              <w:bidi w:val="0"/>
              <w:spacing w:before="0" w:after="283"/>
              <w:jc w:val="right"/>
              <w:rPr>
                <w:b/>
                <w:sz w:val="20"/>
              </w:rPr>
            </w:pPr>
            <w:r>
              <w:rPr>
                <w:b/>
                <w:sz w:val="20"/>
              </w:rPr>
              <w:t>(753,909</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855" w:type="dxa"/>
            <w:tcBorders/>
            <w:shd w:fill="FFFFFF" w:val="clear"/>
            <w:vAlign w:val="center"/>
          </w:tcPr>
          <w:p>
            <w:pPr>
              <w:pStyle w:val="TableContents"/>
              <w:bidi w:val="0"/>
              <w:spacing w:before="0" w:after="283"/>
              <w:jc w:val="left"/>
              <w:rPr>
                <w:sz w:val="20"/>
              </w:rPr>
            </w:pPr>
            <w:r>
              <w:rPr>
                <w:sz w:val="20"/>
              </w:rPr>
              <w:t>Cash outflows from operations-continuing operations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sz w:val="20"/>
              </w:rPr>
            </w:pPr>
            <w:r>
              <w:rPr>
                <w:sz w:val="20"/>
              </w:rPr>
              <w:t>(2,457,939</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sz w:val="20"/>
              </w:rPr>
            </w:pPr>
            <w:r>
              <w:rPr>
                <w:sz w:val="20"/>
              </w:rPr>
              <w:t>(772,374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855" w:type="dxa"/>
            <w:tcBorders/>
            <w:shd w:fill="CCEEFF" w:val="clear"/>
            <w:vAlign w:val="center"/>
          </w:tcPr>
          <w:p>
            <w:pPr>
              <w:pStyle w:val="TableContents"/>
              <w:bidi w:val="0"/>
              <w:spacing w:before="0" w:after="283"/>
              <w:jc w:val="left"/>
              <w:rPr>
                <w:sz w:val="20"/>
              </w:rPr>
            </w:pPr>
            <w:r>
              <w:rPr>
                <w:sz w:val="20"/>
              </w:rPr>
              <w:t>Cash inflows from operations-discontinued operations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sz w:val="20"/>
              </w:rPr>
            </w:pPr>
            <w:r>
              <w:rPr>
                <w:sz w:val="20"/>
              </w:rPr>
              <w:t>2,540,500</w:t>
            </w:r>
          </w:p>
        </w:tc>
        <w:tc>
          <w:tcPr>
            <w:tcW w:w="9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b/>
                <w:sz w:val="20"/>
              </w:rPr>
            </w:pPr>
            <w:r>
              <w:rPr>
                <w:b/>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b/>
                <w:sz w:val="20"/>
              </w:rPr>
            </w:pPr>
            <w:r>
              <w:rPr>
                <w:b/>
                <w:sz w:val="20"/>
              </w:rPr>
              <w:t>(37,142,689</w:t>
            </w:r>
          </w:p>
        </w:tc>
        <w:tc>
          <w:tcPr>
            <w:tcW w:w="93" w:type="dxa"/>
            <w:tcBorders/>
            <w:shd w:fill="FFFFFF" w:val="clear"/>
            <w:vAlign w:val="center"/>
          </w:tcPr>
          <w:p>
            <w:pPr>
              <w:pStyle w:val="TableContents"/>
              <w:bidi w:val="0"/>
              <w:spacing w:before="0" w:after="283"/>
              <w:jc w:val="left"/>
              <w:rPr>
                <w:b/>
                <w:sz w:val="20"/>
              </w:rPr>
            </w:pPr>
            <w:r>
              <w:rPr>
                <w:b/>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b/>
                <w:sz w:val="20"/>
              </w:rPr>
            </w:pPr>
            <w:r>
              <w:rPr>
                <w:b/>
                <w:sz w:val="20"/>
              </w:rPr>
              <w:t>(3,026,400</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5855" w:type="dxa"/>
            <w:tcBorders/>
            <w:shd w:fill="CCEEFF" w:val="clear"/>
            <w:vAlign w:val="center"/>
          </w:tcPr>
          <w:p>
            <w:pPr>
              <w:pStyle w:val="TableContents"/>
              <w:bidi w:val="0"/>
              <w:spacing w:before="0" w:after="283"/>
              <w:jc w:val="left"/>
              <w:rPr>
                <w:sz w:val="20"/>
              </w:rPr>
            </w:pPr>
            <w:r>
              <w:rPr>
                <w:sz w:val="20"/>
              </w:rPr>
              <w:t>Cash outflows from investing activities-continuing operations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sz w:val="20"/>
              </w:rPr>
            </w:pPr>
            <w:r>
              <w:rPr>
                <w:sz w:val="20"/>
              </w:rPr>
              <w:t>(37,142,689</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sz w:val="20"/>
              </w:rPr>
            </w:pPr>
            <w:r>
              <w:rPr>
                <w:sz w:val="20"/>
              </w:rPr>
              <w:t>(3,026,400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855" w:type="dxa"/>
            <w:tcBorders/>
            <w:shd w:fill="FFFFFF" w:val="clear"/>
            <w:vAlign w:val="center"/>
          </w:tcPr>
          <w:p>
            <w:pPr>
              <w:pStyle w:val="TableContents"/>
              <w:bidi w:val="0"/>
              <w:spacing w:before="0" w:after="283"/>
              <w:jc w:val="left"/>
              <w:rPr>
                <w:b/>
                <w:sz w:val="20"/>
              </w:rPr>
            </w:pPr>
            <w:r>
              <w:rPr>
                <w:b/>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b/>
                <w:sz w:val="20"/>
              </w:rPr>
            </w:pPr>
            <w:r>
              <w:rPr>
                <w:b/>
                <w:sz w:val="20"/>
              </w:rPr>
              <w:t>(40,081,359</w:t>
            </w:r>
          </w:p>
        </w:tc>
        <w:tc>
          <w:tcPr>
            <w:tcW w:w="93" w:type="dxa"/>
            <w:tcBorders/>
            <w:shd w:fill="FFFFFF" w:val="clear"/>
            <w:vAlign w:val="center"/>
          </w:tcPr>
          <w:p>
            <w:pPr>
              <w:pStyle w:val="TableContents"/>
              <w:bidi w:val="0"/>
              <w:spacing w:before="0" w:after="283"/>
              <w:jc w:val="left"/>
              <w:rPr>
                <w:b/>
                <w:sz w:val="20"/>
              </w:rPr>
            </w:pPr>
            <w:r>
              <w:rPr>
                <w:b/>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b/>
                <w:sz w:val="20"/>
              </w:rPr>
            </w:pPr>
            <w:r>
              <w:rPr>
                <w:b/>
                <w:sz w:val="20"/>
              </w:rPr>
              <w:t>(68,539</w:t>
            </w:r>
          </w:p>
        </w:tc>
        <w:tc>
          <w:tcPr>
            <w:tcW w:w="95" w:type="dxa"/>
            <w:tcBorders/>
            <w:shd w:fill="FFFFFF" w:val="clear"/>
            <w:vAlign w:val="center"/>
          </w:tcPr>
          <w:p>
            <w:pPr>
              <w:pStyle w:val="TableContents"/>
              <w:bidi w:val="0"/>
              <w:spacing w:before="0" w:after="283"/>
              <w:jc w:val="left"/>
              <w:rPr>
                <w:b/>
                <w:sz w:val="20"/>
              </w:rPr>
            </w:pPr>
            <w:r>
              <w:rPr>
                <w:b/>
                <w:sz w:val="20"/>
              </w:rPr>
              <w:t>)</w:t>
            </w:r>
          </w:p>
        </w:tc>
      </w:tr>
      <w:tr>
        <w:trPr/>
        <w:tc>
          <w:tcPr>
            <w:tcW w:w="5855" w:type="dxa"/>
            <w:tcBorders/>
            <w:shd w:fill="CCEEFF" w:val="clear"/>
            <w:vAlign w:val="center"/>
          </w:tcPr>
          <w:p>
            <w:pPr>
              <w:pStyle w:val="TableContents"/>
              <w:bidi w:val="0"/>
              <w:spacing w:before="0" w:after="283"/>
              <w:jc w:val="left"/>
              <w:rPr>
                <w:sz w:val="20"/>
              </w:rPr>
            </w:pPr>
            <w:r>
              <w:rPr>
                <w:sz w:val="20"/>
              </w:rPr>
              <w:t>Cash inflows (outflows) from financing activities-continuing operations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(40,081,359</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(68,539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855" w:type="dxa"/>
            <w:tcBorders/>
            <w:shd w:fill="FFFFFF" w:val="clear"/>
            <w:vAlign w:val="center"/>
          </w:tcPr>
          <w:p>
            <w:pPr>
              <w:pStyle w:val="TableContents"/>
              <w:bidi w:val="0"/>
              <w:spacing w:before="0" w:after="283"/>
              <w:jc w:val="left"/>
              <w:rPr>
                <w:sz w:val="20"/>
              </w:rPr>
            </w:pPr>
            <w:r>
              <w:rPr>
                <w:sz w:val="20"/>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480,731</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(1,326,813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left"/>
        <w:rPr>
          <w:caps w:val="false"/>
          <w:smallCaps w:val="false"/>
          <w:color w:val="595959"/>
        </w:rPr>
      </w:pPr>
      <w:r>
        <w:rPr>
          <w:caps w:val="false"/>
          <w:smallCaps w:val="false"/>
          <w:color w:val="595959"/>
        </w:rPr>
        <w:t> </w:t>
      </w:r>
    </w:p>
    <w:p>
      <w:pPr>
        <w:pStyle w:val="TextBody"/>
        <w:bidi w:val="0"/>
        <w:spacing w:before="0" w:after="0"/>
        <w:jc w:val="center"/>
        <w:rPr>
          <w:caps w:val="false"/>
          <w:smallCaps w:val="false"/>
          <w:color w:val="595959"/>
        </w:rPr>
      </w:pPr>
      <w:r>
        <w:rPr>
          <w:caps w:val="false"/>
          <w:smallCaps w:val="false"/>
          <w:color w:val="595959"/>
        </w:rPr>
        <w:t> </w:t>
      </w:r>
      <w:r>
        <w:rPr>
          <w:caps w:val="false"/>
          <w:smallCaps w:val="false"/>
          <w:color w:val="595959"/>
        </w:rPr>
        <w:drawing>
          <wp:inline distT="0" distB="0" distL="0" distR="0">
            <wp:extent cx="7258050" cy="933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258050" cy="93345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2542</Words>
  <Characters>14392</Characters>
  <CharactersWithSpaces>17279</CharactersWithSpaces>
  <Paragraphs>1026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