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1388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April</w:t>
      </w:r>
    </w:p>
    <w:p>
      <w:pPr>
        <w:spacing w:after="0" w:line="1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2023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Huan Liu</w:t>
      </w:r>
    </w:p>
    <w:p>
      <w:pPr>
        <w:spacing w:after="0" w:line="1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Cheetah Net Supply Chain Service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6201 Fairview Road, Suite 225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Charlotte, NC 28210</w:t>
      </w:r>
    </w:p>
    <w:p>
      <w:pPr>
        <w:spacing w:after="0" w:line="18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Cheetah Net Supply</w:t>
      </w:r>
    </w:p>
    <w:p>
      <w:pPr>
        <w:spacing w:after="0" w:line="1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Chain Service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7,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333-271185</w:t>
      </w:r>
    </w:p>
    <w:p>
      <w:pPr>
        <w:spacing w:after="0" w:line="18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Huan Liu: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0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April 7, 2023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1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Overview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2</w:t>
      </w:r>
    </w:p>
    <w:p>
      <w:pPr>
        <w:spacing w:after="0" w:line="18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last</w:t>
      </w:r>
    </w:p>
    <w:p>
      <w:pPr>
        <w:spacing w:after="0" w:line="1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in this section to explain that net income for 2022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$1.3 million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subsidy income from a business recovery grant program.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Huan Liu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Cheetah NetLastNameHuan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Liu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Chain Service Inc.</w:t>
      </w:r>
    </w:p>
    <w:p>
      <w:pPr>
        <w:spacing w:after="0" w:line="18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NameCheetah Net Supply Chain Service Inc.</w:t>
      </w:r>
    </w:p>
    <w:p>
      <w:pPr>
        <w:spacing w:after="0" w:line="1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218,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to the PRC market represented approximately 93.1% and 43.9% of our revenue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 ended December 31, 2022 and 2021, page 15</w:t>
      </w:r>
    </w:p>
    <w:p>
      <w:pPr>
        <w:spacing w:after="0" w:line="18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generate a significant portion of your revenue from sales to the PRC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i.e., 93.1% in 2022. We also note your disclosure that laws and regulations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can change and, in some cases, with little advance notice. Please revise to include a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risk factor discussing the significant regulatory risks arising from the legal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 in China, including risks and uncertainties regarding the enforcement of laws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rules and regulations in China can change quickly with little advance notice.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discuss the risks that the Chinese government may intervene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influence your ability to sell products to PRC customers. Please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enough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that investors can clearly understand the risks associated with the majority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customers being based out of China.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Abe Friedman at 202-551-8298 or Theresa Brillant at 202-551-3307 if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Kate Beukenkamp at 202-551-3861 or Donald Field at 202-551-3680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Ying Li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2023-09-04T00:16:15Z</dcterms:created>
  <dcterms:modified xsi:type="dcterms:W3CDTF">2023-09-04T00:16:15Z</dcterms:modified>
</cp:coreProperties>
</file>